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87.1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учитывать тенденции развития общественных и государственных институтов для их разностороннего освещения в создаваемых медиатекстах и (или) медиапродуктах, и (или) коммуникационных продуктах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систему общественных и государственных институтов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знать механизмы функционирования и тенденции развития общественных и государственных институтов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знать актуальные проблемы и тенденции развития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уметь применять в профессиональной сфере знания о системе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уметь применять в профессиональной сфере знания о механизмах функционирования и тенденциях развития общественных и государственных институтов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ОПК-2.7 уметь учитывать актуальные проблемы и тенденции развития общественных и государственных институтов в профессиональной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ОПК-2.9 владеть навыками применения в профессиональной сфере знаний о системе общественных и государственных институтов</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ОПК-2.10 владеть навыками применения в профессиональной сфере знаний о механизмах функционирования и тенденциях развития общественных и государственных институтов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ОПК-2.11 владеть навыками анализа актуальных проблем и тенденций развития общественных и государственных институтов при решении профессиональных  задач</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Социально-гуманитарный модуль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Культурология</w:t>
            </w:r>
          </w:p>
          <w:p>
            <w:pPr>
              <w:jc w:val="center"/>
              <w:spacing w:after="0" w:line="240" w:lineRule="auto"/>
              <w:rPr>
                <w:sz w:val="22"/>
                <w:szCs w:val="22"/>
              </w:rPr>
            </w:pPr>
            <w:r>
              <w:rPr>
                <w:rFonts w:ascii="Times New Roman" w:hAnsi="Times New Roman" w:cs="Times New Roman"/>
                <w:color w:val="#000000"/>
                <w:sz w:val="22"/>
                <w:szCs w:val="22"/>
              </w:rPr>
              <w:t> Политология</w:t>
            </w:r>
          </w:p>
          <w:p>
            <w:pPr>
              <w:jc w:val="center"/>
              <w:spacing w:after="0" w:line="240" w:lineRule="auto"/>
              <w:rPr>
                <w:sz w:val="22"/>
                <w:szCs w:val="22"/>
              </w:rPr>
            </w:pPr>
            <w:r>
              <w:rPr>
                <w:rFonts w:ascii="Times New Roman" w:hAnsi="Times New Roman" w:cs="Times New Roman"/>
                <w:color w:val="#000000"/>
                <w:sz w:val="22"/>
                <w:szCs w:val="22"/>
              </w:rPr>
              <w:t> История мировой литературы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88.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799.5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518"/>
        </w:trPr>
        <w:tc>
          <w:tcPr>
            <w:tcW w:w="9640" w:type="dxa"/>
          </w:tcP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70.0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45.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69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039.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2023-2024_ФГОС3++2023_Бак-ОФО-РСО(23)_plx_Философия</dc:title>
  <dc:creator>FastReport.NET</dc:creator>
</cp:coreProperties>
</file>